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2C" w:rsidRDefault="00A4132C" w:rsidP="00FC724A">
      <w:pPr>
        <w:pStyle w:val="ListParagraph"/>
        <w:ind w:left="0"/>
      </w:pPr>
    </w:p>
    <w:p w:rsidR="00A4132C" w:rsidRDefault="00A4132C" w:rsidP="00FC724A">
      <w:pPr>
        <w:pStyle w:val="ListParagraph"/>
        <w:ind w:left="0"/>
      </w:pPr>
      <w:r>
        <w:t>Objects may be dragged to a rack if genomes exist for the asset model. Objects may also be dragged on top of existing racked assets for association.</w:t>
      </w:r>
      <w:r w:rsidR="00004EAB">
        <w:t xml:space="preserve"> The </w:t>
      </w:r>
      <w:proofErr w:type="spellStart"/>
      <w:r w:rsidR="00004EAB">
        <w:t>OneView</w:t>
      </w:r>
      <w:proofErr w:type="spellEnd"/>
      <w:r w:rsidR="00004EAB">
        <w:t xml:space="preserve"> integration also supports auto-association so if the </w:t>
      </w:r>
      <w:proofErr w:type="spellStart"/>
      <w:r w:rsidR="00004EAB">
        <w:t>OneView</w:t>
      </w:r>
      <w:proofErr w:type="spellEnd"/>
      <w:r w:rsidR="00004EAB">
        <w:t xml:space="preserve"> discovered make or model, asset name, IP address, or serial number uniquely matches an existing asset in the open DCO room, then items can be associated with a single button click.</w:t>
      </w:r>
    </w:p>
    <w:p w:rsidR="001C19DA" w:rsidRDefault="001C19DA" w:rsidP="00FC724A">
      <w:pPr>
        <w:pStyle w:val="ListParagraph"/>
        <w:ind w:left="0"/>
      </w:pPr>
    </w:p>
    <w:p w:rsidR="001C19DA" w:rsidRDefault="0008752E" w:rsidP="00FC724A">
      <w:pPr>
        <w:pStyle w:val="ListParagraph"/>
        <w:ind w:left="0"/>
      </w:pPr>
      <w:r>
        <w:t xml:space="preserve">The HP </w:t>
      </w:r>
      <w:proofErr w:type="spellStart"/>
      <w:r>
        <w:t>OneView</w:t>
      </w:r>
      <w:proofErr w:type="spellEnd"/>
      <w:r>
        <w:t xml:space="preserve"> integration tracks blade slot location in blade chassis. When a HP C7000 enclosure is dragged to a rack, or associated to an existing/empty enclosure the </w:t>
      </w:r>
    </w:p>
    <w:p w:rsidR="0008752E" w:rsidRDefault="0008752E" w:rsidP="00FC724A">
      <w:pPr>
        <w:pStyle w:val="ListParagraph"/>
        <w:ind w:left="0"/>
      </w:pPr>
    </w:p>
    <w:p w:rsidR="00D41B88" w:rsidRDefault="00D41B88" w:rsidP="00FC724A">
      <w:pPr>
        <w:pStyle w:val="ListParagraph"/>
        <w:ind w:left="0"/>
      </w:pPr>
      <w:r>
        <w:t>Before association:</w:t>
      </w:r>
      <w:r>
        <w:tab/>
      </w:r>
      <w:r>
        <w:tab/>
      </w:r>
      <w:r>
        <w:tab/>
        <w:t>After Association:</w:t>
      </w:r>
    </w:p>
    <w:p w:rsidR="0008752E" w:rsidRDefault="00D41B88" w:rsidP="00FC724A">
      <w:pPr>
        <w:pStyle w:val="ListParagraph"/>
        <w:ind w:left="0"/>
      </w:pPr>
      <w:r>
        <w:rPr>
          <w:noProof/>
        </w:rPr>
        <w:drawing>
          <wp:inline distT="0" distB="0" distL="0" distR="0">
            <wp:extent cx="1455420" cy="130238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426210" cy="1228725"/>
            <wp:effectExtent l="1905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B88" w:rsidRDefault="00D41B88" w:rsidP="00FC724A">
      <w:pPr>
        <w:pStyle w:val="ListParagraph"/>
        <w:ind w:left="0"/>
      </w:pPr>
    </w:p>
    <w:p w:rsidR="00D41B88" w:rsidRDefault="003E235E" w:rsidP="00FC724A">
      <w:pPr>
        <w:pStyle w:val="ListParagraph"/>
        <w:ind w:left="0"/>
      </w:pPr>
      <w:r>
        <w:t xml:space="preserve">The HP </w:t>
      </w:r>
      <w:proofErr w:type="spellStart"/>
      <w:r>
        <w:t>OneView</w:t>
      </w:r>
      <w:proofErr w:type="spellEnd"/>
      <w:r>
        <w:t xml:space="preserve"> integration will automatically place blades in their proper locations, and it will track changes to blade slots. So if the customer adds, moves</w:t>
      </w:r>
      <w:r w:rsidR="002A20BC">
        <w:t>,</w:t>
      </w:r>
      <w:r>
        <w:t xml:space="preserve"> or removes a blade from a chassis, DCO will update accordingly.</w:t>
      </w:r>
    </w:p>
    <w:p w:rsidR="002A20BC" w:rsidRDefault="002A20BC" w:rsidP="00FC724A">
      <w:pPr>
        <w:pStyle w:val="ListParagraph"/>
        <w:ind w:left="0"/>
      </w:pPr>
    </w:p>
    <w:p w:rsidR="002A20BC" w:rsidRDefault="00525F46" w:rsidP="00FC724A">
      <w:pPr>
        <w:pStyle w:val="ListParagraph"/>
        <w:ind w:left="0"/>
      </w:pPr>
      <w:r>
        <w:t xml:space="preserve">The </w:t>
      </w:r>
      <w:proofErr w:type="spellStart"/>
      <w:r>
        <w:t>OneView</w:t>
      </w:r>
      <w:proofErr w:type="spellEnd"/>
      <w:r>
        <w:t xml:space="preserve"> customer experience in DCO is based on the licenses they have purchased for their StruxureWare environment.</w:t>
      </w:r>
    </w:p>
    <w:p w:rsidR="00525F46" w:rsidRDefault="00525F46" w:rsidP="00FC724A">
      <w:pPr>
        <w:pStyle w:val="ListParagraph"/>
        <w:ind w:left="0"/>
      </w:pPr>
    </w:p>
    <w:p w:rsidR="00525F46" w:rsidRDefault="00525F46" w:rsidP="00525F46">
      <w:pPr>
        <w:pStyle w:val="ListParagraph"/>
        <w:numPr>
          <w:ilvl w:val="0"/>
          <w:numId w:val="1"/>
        </w:numPr>
      </w:pPr>
      <w:r>
        <w:t xml:space="preserve">Operations or </w:t>
      </w:r>
      <w:proofErr w:type="spellStart"/>
      <w:r>
        <w:t>Colo</w:t>
      </w:r>
      <w:proofErr w:type="spellEnd"/>
      <w:r>
        <w:t xml:space="preserve"> licenses provide the inventory management features. </w:t>
      </w:r>
      <w:proofErr w:type="spellStart"/>
      <w:r>
        <w:t>OneView</w:t>
      </w:r>
      <w:proofErr w:type="spellEnd"/>
      <w:r>
        <w:t xml:space="preserve"> assets and their details (hostname, serial number, </w:t>
      </w:r>
      <w:proofErr w:type="gramStart"/>
      <w:r>
        <w:t>… )</w:t>
      </w:r>
      <w:proofErr w:type="gramEnd"/>
      <w:r>
        <w:t xml:space="preserve">. </w:t>
      </w:r>
    </w:p>
    <w:p w:rsidR="00525F46" w:rsidRDefault="00525F46" w:rsidP="00525F46">
      <w:pPr>
        <w:pStyle w:val="ListParagraph"/>
        <w:numPr>
          <w:ilvl w:val="0"/>
          <w:numId w:val="1"/>
        </w:numPr>
      </w:pPr>
      <w:r>
        <w:t xml:space="preserve">Capacity licensing enables visibility of power data for </w:t>
      </w:r>
      <w:proofErr w:type="spellStart"/>
      <w:r>
        <w:t>OneView</w:t>
      </w:r>
      <w:proofErr w:type="spellEnd"/>
      <w:r>
        <w:t xml:space="preserve"> devices which support power monitoring (usually servers and blades).</w:t>
      </w:r>
      <w:r w:rsidR="008553A2">
        <w:t xml:space="preserve"> This information is visible in the Power overlay displaying the tooltip for </w:t>
      </w:r>
      <w:proofErr w:type="gramStart"/>
      <w:r w:rsidR="008553A2">
        <w:t>a</w:t>
      </w:r>
      <w:proofErr w:type="gramEnd"/>
      <w:r w:rsidR="008553A2">
        <w:t xml:space="preserve"> </w:t>
      </w:r>
      <w:proofErr w:type="spellStart"/>
      <w:r w:rsidR="008553A2">
        <w:t>OneView</w:t>
      </w:r>
      <w:proofErr w:type="spellEnd"/>
      <w:r w:rsidR="008553A2">
        <w:t xml:space="preserve"> asset.</w:t>
      </w:r>
    </w:p>
    <w:p w:rsidR="008553A2" w:rsidRDefault="008553A2" w:rsidP="008553A2">
      <w:pPr>
        <w:pStyle w:val="ListParagraph"/>
      </w:pPr>
    </w:p>
    <w:p w:rsidR="008553A2" w:rsidRDefault="008553A2" w:rsidP="00610352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163802" cy="2249493"/>
            <wp:effectExtent l="19050" t="0" r="7898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11" cy="225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52" w:rsidRDefault="00610352" w:rsidP="00610352">
      <w:pPr>
        <w:pStyle w:val="ListParagraph"/>
      </w:pPr>
    </w:p>
    <w:p w:rsidR="00D81A18" w:rsidRDefault="00525F46" w:rsidP="00D81A18">
      <w:pPr>
        <w:pStyle w:val="ListParagraph"/>
        <w:numPr>
          <w:ilvl w:val="0"/>
          <w:numId w:val="1"/>
        </w:numPr>
      </w:pPr>
      <w:r>
        <w:t xml:space="preserve">IT Optimize licensing enables visibility of CPU utilization </w:t>
      </w:r>
      <w:r w:rsidR="00250AF4">
        <w:t xml:space="preserve">and Inlet temperature </w:t>
      </w:r>
      <w:r>
        <w:t xml:space="preserve">for </w:t>
      </w:r>
      <w:proofErr w:type="spellStart"/>
      <w:r>
        <w:t>OneView</w:t>
      </w:r>
      <w:proofErr w:type="spellEnd"/>
      <w:r>
        <w:t xml:space="preserve"> devices which</w:t>
      </w:r>
      <w:r w:rsidR="00250AF4">
        <w:t xml:space="preserve"> support monitoring of CPU data and Inlet temp.</w:t>
      </w:r>
      <w:r w:rsidR="00D81A18">
        <w:t xml:space="preserve"> This information is visible in the IT Optimize overlay displaying the tooltip for </w:t>
      </w:r>
      <w:proofErr w:type="gramStart"/>
      <w:r w:rsidR="00D81A18">
        <w:t>a</w:t>
      </w:r>
      <w:proofErr w:type="gramEnd"/>
      <w:r w:rsidR="00D81A18">
        <w:t xml:space="preserve"> </w:t>
      </w:r>
      <w:proofErr w:type="spellStart"/>
      <w:r w:rsidR="00D81A18">
        <w:t>OneView</w:t>
      </w:r>
      <w:proofErr w:type="spellEnd"/>
      <w:r w:rsidR="00D81A18">
        <w:t xml:space="preserve"> asset.</w:t>
      </w:r>
    </w:p>
    <w:p w:rsidR="00525F46" w:rsidRDefault="00525F46" w:rsidP="00D81A18">
      <w:pPr>
        <w:pStyle w:val="ListParagraph"/>
      </w:pPr>
    </w:p>
    <w:p w:rsidR="00610352" w:rsidRDefault="00610352" w:rsidP="00610352">
      <w:pPr>
        <w:pStyle w:val="ListParagraph"/>
      </w:pPr>
      <w:r>
        <w:rPr>
          <w:noProof/>
        </w:rPr>
        <w:drawing>
          <wp:inline distT="0" distB="0" distL="0" distR="0">
            <wp:extent cx="1825375" cy="2231136"/>
            <wp:effectExtent l="19050" t="0" r="34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8" cy="223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52" w:rsidRDefault="00610352" w:rsidP="00610352">
      <w:pPr>
        <w:pStyle w:val="ListParagraph"/>
      </w:pPr>
    </w:p>
    <w:p w:rsidR="004B2365" w:rsidRDefault="004B2365" w:rsidP="00525F46">
      <w:pPr>
        <w:pStyle w:val="ListParagraph"/>
        <w:numPr>
          <w:ilvl w:val="0"/>
          <w:numId w:val="1"/>
        </w:numPr>
      </w:pPr>
      <w:r>
        <w:t>Server Access licensing enables the ability to launch remote console sessions to the ILO/management card.</w:t>
      </w:r>
      <w:r w:rsidR="001C41FA">
        <w:t xml:space="preserve"> This option is visible when you right-click on </w:t>
      </w:r>
      <w:proofErr w:type="gramStart"/>
      <w:r w:rsidR="001C41FA">
        <w:t>a</w:t>
      </w:r>
      <w:proofErr w:type="gramEnd"/>
      <w:r w:rsidR="001C41FA">
        <w:t xml:space="preserve"> </w:t>
      </w:r>
      <w:proofErr w:type="spellStart"/>
      <w:r w:rsidR="001C41FA">
        <w:t>OneView</w:t>
      </w:r>
      <w:proofErr w:type="spellEnd"/>
      <w:r w:rsidR="001C41FA">
        <w:t xml:space="preserve"> device which has server access enabled.</w:t>
      </w:r>
    </w:p>
    <w:p w:rsidR="00610352" w:rsidRDefault="00610352" w:rsidP="00610352">
      <w:pPr>
        <w:pStyle w:val="ListParagraph"/>
      </w:pPr>
    </w:p>
    <w:p w:rsidR="00D81A18" w:rsidRDefault="00D81A18" w:rsidP="00610352">
      <w:pPr>
        <w:pStyle w:val="ListParagraph"/>
      </w:pPr>
      <w:r>
        <w:rPr>
          <w:noProof/>
        </w:rPr>
        <w:drawing>
          <wp:inline distT="0" distB="0" distL="0" distR="0">
            <wp:extent cx="2413428" cy="1675181"/>
            <wp:effectExtent l="19050" t="0" r="5922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495" cy="167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FA" w:rsidRDefault="001C41FA" w:rsidP="00610352">
      <w:pPr>
        <w:pStyle w:val="ListParagraph"/>
      </w:pPr>
      <w:r>
        <w:lastRenderedPageBreak/>
        <w:t xml:space="preserve">Select “HP Remote Console”. If you have the HP remote console app installed it will be launched automatically. </w:t>
      </w:r>
    </w:p>
    <w:p w:rsidR="001C41FA" w:rsidRDefault="001C41FA" w:rsidP="00610352">
      <w:pPr>
        <w:pStyle w:val="ListParagraph"/>
      </w:pPr>
      <w:r>
        <w:rPr>
          <w:noProof/>
        </w:rPr>
        <w:drawing>
          <wp:inline distT="0" distB="0" distL="0" distR="0">
            <wp:extent cx="3599079" cy="2673473"/>
            <wp:effectExtent l="19050" t="0" r="1371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540" cy="267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1FA" w:rsidSect="00A7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2C1"/>
    <w:multiLevelType w:val="hybridMultilevel"/>
    <w:tmpl w:val="7B06F76E"/>
    <w:lvl w:ilvl="0" w:tplc="CA440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4D6B"/>
    <w:rsid w:val="00004EAB"/>
    <w:rsid w:val="0008752E"/>
    <w:rsid w:val="001C19DA"/>
    <w:rsid w:val="001C41FA"/>
    <w:rsid w:val="00250AF4"/>
    <w:rsid w:val="002A20BC"/>
    <w:rsid w:val="003465C1"/>
    <w:rsid w:val="003E235E"/>
    <w:rsid w:val="004B2365"/>
    <w:rsid w:val="00525F46"/>
    <w:rsid w:val="00610352"/>
    <w:rsid w:val="00757979"/>
    <w:rsid w:val="007D4D6B"/>
    <w:rsid w:val="00800A01"/>
    <w:rsid w:val="008553A2"/>
    <w:rsid w:val="00925991"/>
    <w:rsid w:val="00A4132C"/>
    <w:rsid w:val="00A73C6C"/>
    <w:rsid w:val="00A76AED"/>
    <w:rsid w:val="00BF06D5"/>
    <w:rsid w:val="00BF574C"/>
    <w:rsid w:val="00CD4657"/>
    <w:rsid w:val="00D2116C"/>
    <w:rsid w:val="00D41B88"/>
    <w:rsid w:val="00D81A18"/>
    <w:rsid w:val="00FC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2016-02-12T22:03:00Z</dcterms:created>
  <dcterms:modified xsi:type="dcterms:W3CDTF">2016-02-12T22:05:00Z</dcterms:modified>
</cp:coreProperties>
</file>